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rPr>
          <w:rFonts w:ascii="Arial" w:cs="Arial" w:eastAsia="Arial" w:hAnsi="Arial"/>
          <w:b w:val="1"/>
          <w:i w:val="0"/>
          <w:smallCaps w:val="0"/>
          <w:strike w:val="0"/>
          <w:color w:val="000000"/>
          <w:sz w:val="36"/>
          <w:szCs w:val="36"/>
          <w:u w:val="none"/>
          <w:shd w:fill="auto" w:val="clear"/>
          <w:vertAlign w:val="baseline"/>
        </w:rPr>
      </w:pPr>
      <w:bookmarkStart w:colFirst="0" w:colLast="0" w:name="_gjdgxs" w:id="0"/>
      <w:bookmarkEnd w:id="0"/>
      <w:r w:rsidDel="00000000" w:rsidR="00000000" w:rsidRPr="00000000">
        <w:rPr>
          <w:rtl w:val="0"/>
        </w:rPr>
      </w:r>
    </w:p>
    <w:p w:rsidR="00000000" w:rsidDel="00000000" w:rsidP="00000000" w:rsidRDefault="00000000" w:rsidRPr="00000000" w14:paraId="00000002">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Call-Off Schedule 12 (Clustering)</w:t>
      </w:r>
    </w:p>
    <w:p w:rsidR="00000000" w:rsidDel="00000000" w:rsidP="00000000" w:rsidRDefault="00000000" w:rsidRPr="00000000" w14:paraId="00000003">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40" w:before="240" w:line="240" w:lineRule="auto"/>
        <w:ind w:left="720" w:right="0" w:hanging="720"/>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When you should use this Schedule</w:t>
      </w:r>
    </w:p>
    <w:p w:rsidR="00000000" w:rsidDel="00000000" w:rsidP="00000000" w:rsidRDefault="00000000" w:rsidRPr="00000000" w14:paraId="0000000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Schedule is required where various Other Contracting Authorities want to join with the Buyer to efficiently contract collectively under a single Call Off Contract rather than as separate individual Buyers under separate Call Off Contracts. </w:t>
      </w:r>
    </w:p>
    <w:p w:rsidR="00000000" w:rsidDel="00000000" w:rsidP="00000000" w:rsidRDefault="00000000" w:rsidRPr="00000000" w14:paraId="00000005">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40" w:before="240" w:line="240" w:lineRule="auto"/>
        <w:ind w:left="720" w:right="0" w:hanging="720"/>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 </w:t>
      </w:r>
    </w:p>
    <w:p w:rsidR="00000000" w:rsidDel="00000000" w:rsidP="00000000" w:rsidRDefault="00000000" w:rsidRPr="00000000" w14:paraId="0000000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“Cluster Members"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means a person named as such in the Annex A to this Schedule which shall be incorporated into the Order Form. </w:t>
      </w:r>
    </w:p>
    <w:p w:rsidR="00000000" w:rsidDel="00000000" w:rsidP="00000000" w:rsidRDefault="00000000" w:rsidRPr="00000000" w14:paraId="0000000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40" w:before="240" w:line="240" w:lineRule="auto"/>
        <w:ind w:left="720" w:right="0" w:hanging="720"/>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Cluster Members benefits under the Contract</w:t>
      </w:r>
      <w:r w:rsidDel="00000000" w:rsidR="00000000" w:rsidRPr="00000000">
        <w:rPr>
          <w:rtl w:val="0"/>
        </w:rPr>
      </w:r>
    </w:p>
    <w:p w:rsidR="00000000" w:rsidDel="00000000" w:rsidP="00000000" w:rsidRDefault="00000000" w:rsidRPr="00000000" w14:paraId="0000000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has entered into this Call-Off Contract both for its own benefit and for the benefit of the Cluster Members.  </w:t>
      </w:r>
    </w:p>
    <w:p w:rsidR="00000000" w:rsidDel="00000000" w:rsidP="00000000" w:rsidRDefault="00000000" w:rsidRPr="00000000" w14:paraId="0000000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Cluster Members who are to benefit under the Call-Off Contract are identified Annex 1 to this Schedule which shall be included into Order Form.</w:t>
      </w:r>
    </w:p>
    <w:p w:rsidR="00000000" w:rsidDel="00000000" w:rsidP="00000000" w:rsidRDefault="00000000" w:rsidRPr="00000000" w14:paraId="0000000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Cluster Members shall have all of the rights granted to the Buyer under a Call-Off Contract.  Accordingly, where the context requires in order to assure the Cluster Members rights and benefits under a Call-Off Contract, and unless the Buyer otherwise specifies, references to the Buyer in a Call-Off Contract (including those references to a Party which are intended to relate to the Buyer) shall be deemed to include a reference to the Cluster Members.</w:t>
      </w:r>
    </w:p>
    <w:p w:rsidR="00000000" w:rsidDel="00000000" w:rsidP="00000000" w:rsidRDefault="00000000" w:rsidRPr="00000000" w14:paraId="0000000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rPr>
          <w:rFonts w:ascii="Arial" w:cs="Arial" w:eastAsia="Arial" w:hAnsi="Arial"/>
          <w:b w:val="0"/>
          <w:i w:val="0"/>
          <w:smallCaps w:val="0"/>
          <w:strike w:val="0"/>
          <w:color w:val="000000"/>
          <w:sz w:val="24"/>
          <w:szCs w:val="24"/>
          <w:u w:val="none"/>
          <w:shd w:fill="auto" w:val="clear"/>
          <w:vertAlign w:val="baseline"/>
        </w:rPr>
      </w:pPr>
      <w:bookmarkStart w:colFirst="0" w:colLast="0" w:name="_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of the Cluster Members will be a third party beneficiary for the purposes of the CRTPA and may enforce the relevant provisions of a Call-Off Contract pursuant to CRTPA.  </w:t>
      </w:r>
    </w:p>
    <w:p w:rsidR="00000000" w:rsidDel="00000000" w:rsidP="00000000" w:rsidRDefault="00000000" w:rsidRPr="00000000" w14:paraId="0000000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to a Call-Off Contract may in accordance with its provisions vary, terminate or rescind that Call-Off Contract or any part of it, without the consent of any Cluster Member.</w:t>
      </w:r>
    </w:p>
    <w:p w:rsidR="00000000" w:rsidDel="00000000" w:rsidP="00000000" w:rsidRDefault="00000000" w:rsidRPr="00000000" w14:paraId="0000000D">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rPr>
          <w:rFonts w:ascii="Arial" w:cs="Arial" w:eastAsia="Arial" w:hAnsi="Arial"/>
          <w:b w:val="0"/>
          <w:i w:val="0"/>
          <w:smallCaps w:val="0"/>
          <w:strike w:val="0"/>
          <w:color w:val="000000"/>
          <w:sz w:val="24"/>
          <w:szCs w:val="24"/>
          <w:u w:val="none"/>
          <w:shd w:fill="auto" w:val="clear"/>
          <w:vertAlign w:val="baseline"/>
        </w:rPr>
      </w:pPr>
      <w:bookmarkStart w:colFirst="0" w:colLast="0" w:name="_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enforcement rights granted to Cluster Members under Paragraph </w:t>
      </w:r>
      <w:r w:rsidDel="00000000" w:rsidR="00000000" w:rsidRPr="00000000">
        <w:rPr>
          <w:sz w:val="24"/>
          <w:szCs w:val="24"/>
          <w:rtl w:val="0"/>
        </w:rPr>
        <w:t xml:space="preserve">3</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.4 are subject to the following provisions: </w:t>
      </w:r>
    </w:p>
    <w:p w:rsidR="00000000" w:rsidDel="00000000" w:rsidP="00000000" w:rsidRDefault="00000000" w:rsidRPr="00000000" w14:paraId="0000000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rPr>
          <w:rFonts w:ascii="Arial" w:cs="Arial" w:eastAsia="Arial" w:hAnsi="Arial"/>
          <w:b w:val="0"/>
          <w:i w:val="0"/>
          <w:smallCaps w:val="0"/>
          <w:strike w:val="0"/>
          <w:color w:val="000000"/>
          <w:sz w:val="24"/>
          <w:szCs w:val="24"/>
          <w:u w:val="none"/>
          <w:shd w:fill="auto" w:val="clear"/>
          <w:vertAlign w:val="baseline"/>
        </w:rPr>
      </w:pPr>
      <w:bookmarkStart w:colFirst="0" w:colLast="0" w:name="_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enforce any provision of a Call-Off Contract on behalf of a Cluster Member; </w:t>
      </w:r>
    </w:p>
    <w:p w:rsidR="00000000" w:rsidDel="00000000" w:rsidP="00000000" w:rsidRDefault="00000000" w:rsidRPr="00000000" w14:paraId="0000000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from a Cluster Member under the CRTPA to enforce a Call-Off Contract shall be brought by the Buyer if reasonably practicable for the Buyer and Cluster Member to do so; and</w:t>
      </w:r>
    </w:p>
    <w:p w:rsidR="00000000" w:rsidDel="00000000" w:rsidP="00000000" w:rsidRDefault="00000000" w:rsidRPr="00000000" w14:paraId="0000001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Supplier's limits and exclusions of liability in the Call-Off Contract shall apply to any claim to enforce a Call-Off Contract made by the Buyer on behalf of a Cluster Member and to any claim to enforce a Call-Off Contract made by a Cluster Member acting on its own behalf.</w:t>
      </w:r>
    </w:p>
    <w:p w:rsidR="00000000" w:rsidDel="00000000" w:rsidP="00000000" w:rsidRDefault="00000000" w:rsidRPr="00000000" w14:paraId="0000001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Notwithstanding that Cluster Members shall each receive the same Services from the Supplier the following adjustments will apply in relation to how the Call-Off Contract will operate in relation to the Buyer and Cluster Members:</w:t>
      </w:r>
    </w:p>
    <w:p w:rsidR="00000000" w:rsidDel="00000000" w:rsidP="00000000" w:rsidRDefault="00000000" w:rsidRPr="00000000" w14:paraId="0000001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Services will be provided by the Supplier to each Cluster Member and Buyer separately; </w:t>
      </w:r>
    </w:p>
    <w:p w:rsidR="00000000" w:rsidDel="00000000" w:rsidP="00000000" w:rsidRDefault="00000000" w:rsidRPr="00000000" w14:paraId="0000001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rPr>
          <w:sz w:val="24"/>
          <w:szCs w:val="24"/>
          <w:u w:val="none"/>
        </w:rPr>
      </w:pPr>
      <w:r w:rsidDel="00000000" w:rsidR="00000000" w:rsidRPr="00000000">
        <w:rPr>
          <w:sz w:val="24"/>
          <w:szCs w:val="24"/>
          <w:rtl w:val="0"/>
        </w:rPr>
        <w:t xml:space="preserve">Rebates due in respect to </w:t>
      </w:r>
      <w:r w:rsidDel="00000000" w:rsidR="00000000" w:rsidRPr="00000000">
        <w:rPr>
          <w:sz w:val="24"/>
          <w:szCs w:val="24"/>
          <w:highlight w:val="yellow"/>
          <w:rtl w:val="0"/>
        </w:rPr>
        <w:t xml:space="preserve">Lot 1 Procurement Cards</w:t>
      </w:r>
      <w:r w:rsidDel="00000000" w:rsidR="00000000" w:rsidRPr="00000000">
        <w:rPr>
          <w:sz w:val="24"/>
          <w:szCs w:val="24"/>
          <w:rtl w:val="0"/>
        </w:rPr>
        <w:t xml:space="preserve"> will be paid to the Buyer and individual Cluster Members in line with the expectations as detailed within Framework Schedule 1 Specification and the instructions as set out within the Call Off contract and </w:t>
      </w:r>
      <w:r w:rsidDel="00000000" w:rsidR="00000000" w:rsidRPr="00000000">
        <w:rPr>
          <w:sz w:val="24"/>
          <w:szCs w:val="24"/>
          <w:highlight w:val="yellow"/>
          <w:rtl w:val="0"/>
        </w:rPr>
        <w:t xml:space="preserve">Call Off Schedule 20 Specification;</w:t>
      </w:r>
    </w:p>
    <w:p w:rsidR="00000000" w:rsidDel="00000000" w:rsidP="00000000" w:rsidRDefault="00000000" w:rsidRPr="00000000" w14:paraId="0000001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Supplier's obligation in regards to reporting will be owed to each Cluster Member and Buyer separately;</w:t>
      </w:r>
    </w:p>
    <w:p w:rsidR="00000000" w:rsidDel="00000000" w:rsidP="00000000" w:rsidRDefault="00000000" w:rsidRPr="00000000" w14:paraId="0000001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rPr>
          <w:sz w:val="24"/>
          <w:szCs w:val="24"/>
          <w:u w:val="none"/>
        </w:rPr>
      </w:pPr>
      <w:r w:rsidDel="00000000" w:rsidR="00000000" w:rsidRPr="00000000">
        <w:rPr>
          <w:sz w:val="24"/>
          <w:szCs w:val="24"/>
          <w:rtl w:val="0"/>
        </w:rPr>
        <w:t xml:space="preserve">the Supplier’s obligations in regards to Call Off Schedule 15 Call Off Contract Management shall be provided to the respective Buyer and Cluster Members;</w:t>
      </w:r>
    </w:p>
    <w:p w:rsidR="00000000" w:rsidDel="00000000" w:rsidP="00000000" w:rsidRDefault="00000000" w:rsidRPr="00000000" w14:paraId="0000001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Cluster Members shall be entitled to separate invoices in respect of the provision of Deliverables; </w:t>
      </w:r>
    </w:p>
    <w:p w:rsidR="00000000" w:rsidDel="00000000" w:rsidP="00000000" w:rsidRDefault="00000000" w:rsidRPr="00000000" w14:paraId="0000001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separate invoices will correlate to the Deliverables provided to the respective Buyer and Cluster Members;</w:t>
      </w:r>
    </w:p>
    <w:p w:rsidR="00000000" w:rsidDel="00000000" w:rsidP="00000000" w:rsidRDefault="00000000" w:rsidRPr="00000000" w14:paraId="0000001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Charges to be paid for the Deliverables shall be calculated on a per Cluster Member and Buyer basis and each Cluster Member and the Buyer shall be responsible for paying their respective Charges;</w:t>
      </w:r>
    </w:p>
    <w:p w:rsidR="00000000" w:rsidDel="00000000" w:rsidP="00000000" w:rsidRDefault="00000000" w:rsidRPr="00000000" w14:paraId="0000001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rPr>
          <w:rFonts w:ascii="Arial" w:cs="Arial" w:eastAsia="Arial" w:hAnsi="Arial"/>
          <w:b w:val="0"/>
          <w:i w:val="0"/>
          <w:smallCaps w:val="0"/>
          <w:strike w:val="0"/>
          <w:color w:val="000000"/>
          <w:sz w:val="24"/>
          <w:szCs w:val="24"/>
          <w:u w:val="none"/>
          <w:shd w:fill="auto" w:val="clear"/>
          <w:vertAlign w:val="baseline"/>
        </w:rPr>
      </w:pPr>
      <w:bookmarkStart w:colFirst="0" w:colLast="0" w:name="_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Service Levels and corresponding Service Credits will be calculated in respect of each Cluster Member and Buyer, and they will be reported and deducted against Charges due by each respective Cluster Member and Buyer; and</w:t>
      </w:r>
    </w:p>
    <w:p w:rsidR="00000000" w:rsidDel="00000000" w:rsidP="00000000" w:rsidRDefault="00000000" w:rsidRPr="00000000" w14:paraId="0000001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further adjustments as the Buyer and each Cluster Member may notify to the Supplier from time to time. </w:t>
      </w:r>
    </w:p>
    <w:p w:rsidR="00000000" w:rsidDel="00000000" w:rsidP="00000000" w:rsidRDefault="00000000" w:rsidRPr="00000000" w14:paraId="0000001B">
      <w:pPr>
        <w:spacing w:after="200" w:line="276" w:lineRule="auto"/>
        <w:ind w:left="0" w:firstLine="0"/>
        <w:rPr>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Annex A – Cluster Members</w:t>
      </w:r>
    </w:p>
    <w:p w:rsidR="00000000" w:rsidDel="00000000" w:rsidP="00000000" w:rsidRDefault="00000000" w:rsidRPr="00000000" w14:paraId="0000001E">
      <w:pPr>
        <w:ind w:left="0" w:firstLine="0"/>
        <w:rPr>
          <w:sz w:val="24"/>
          <w:szCs w:val="24"/>
        </w:rPr>
      </w:pPr>
      <w:r w:rsidDel="00000000" w:rsidR="00000000" w:rsidRPr="00000000">
        <w:rPr>
          <w:sz w:val="24"/>
          <w:szCs w:val="24"/>
          <w:rtl w:val="0"/>
        </w:rPr>
        <w:t xml:space="preserve">The Deliverables shall also be provided for the benefit of the following Cluster Members:</w:t>
      </w:r>
    </w:p>
    <w:tbl>
      <w:tblPr>
        <w:tblStyle w:val="Table1"/>
        <w:tblW w:w="9016.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54"/>
        <w:gridCol w:w="2254"/>
        <w:gridCol w:w="2254"/>
        <w:gridCol w:w="2254"/>
        <w:tblGridChange w:id="0">
          <w:tblGrid>
            <w:gridCol w:w="2254"/>
            <w:gridCol w:w="2254"/>
            <w:gridCol w:w="2254"/>
            <w:gridCol w:w="2254"/>
          </w:tblGrid>
        </w:tblGridChange>
      </w:tblGrid>
      <w:tr>
        <w:trPr>
          <w:cantSplit w:val="0"/>
          <w:tblHeader w:val="0"/>
        </w:trPr>
        <w:tc>
          <w:tcPr/>
          <w:p w:rsidR="00000000" w:rsidDel="00000000" w:rsidP="00000000" w:rsidRDefault="00000000" w:rsidRPr="00000000" w14:paraId="0000001F">
            <w:pPr>
              <w:keepNext w:val="1"/>
              <w:keepLines w:val="1"/>
              <w:spacing w:before="200" w:line="276" w:lineRule="auto"/>
              <w:ind w:left="0" w:firstLine="0"/>
              <w:rPr>
                <w:sz w:val="24"/>
                <w:szCs w:val="24"/>
              </w:rPr>
            </w:pPr>
            <w:r w:rsidDel="00000000" w:rsidR="00000000" w:rsidRPr="00000000">
              <w:rPr>
                <w:sz w:val="24"/>
                <w:szCs w:val="24"/>
                <w:rtl w:val="0"/>
              </w:rPr>
              <w:t xml:space="preserve">Name of Cluster Member</w:t>
            </w:r>
          </w:p>
        </w:tc>
        <w:tc>
          <w:tcPr/>
          <w:p w:rsidR="00000000" w:rsidDel="00000000" w:rsidP="00000000" w:rsidRDefault="00000000" w:rsidRPr="00000000" w14:paraId="00000020">
            <w:pPr>
              <w:keepNext w:val="1"/>
              <w:keepLines w:val="1"/>
              <w:spacing w:before="200" w:line="276" w:lineRule="auto"/>
              <w:ind w:left="0" w:firstLine="0"/>
              <w:rPr>
                <w:sz w:val="24"/>
                <w:szCs w:val="24"/>
              </w:rPr>
            </w:pPr>
            <w:r w:rsidDel="00000000" w:rsidR="00000000" w:rsidRPr="00000000">
              <w:rPr>
                <w:sz w:val="24"/>
                <w:szCs w:val="24"/>
                <w:rtl w:val="0"/>
              </w:rPr>
              <w:t xml:space="preserve">Services to be provided</w:t>
            </w:r>
          </w:p>
        </w:tc>
        <w:tc>
          <w:tcPr/>
          <w:p w:rsidR="00000000" w:rsidDel="00000000" w:rsidP="00000000" w:rsidRDefault="00000000" w:rsidRPr="00000000" w14:paraId="00000021">
            <w:pPr>
              <w:keepNext w:val="1"/>
              <w:keepLines w:val="1"/>
              <w:spacing w:before="200" w:line="276" w:lineRule="auto"/>
              <w:ind w:left="0" w:firstLine="0"/>
              <w:rPr>
                <w:sz w:val="24"/>
                <w:szCs w:val="24"/>
              </w:rPr>
            </w:pPr>
            <w:r w:rsidDel="00000000" w:rsidR="00000000" w:rsidRPr="00000000">
              <w:rPr>
                <w:sz w:val="24"/>
                <w:szCs w:val="24"/>
                <w:rtl w:val="0"/>
              </w:rPr>
              <w:t xml:space="preserve">Duration</w:t>
            </w:r>
          </w:p>
        </w:tc>
        <w:tc>
          <w:tcPr/>
          <w:p w:rsidR="00000000" w:rsidDel="00000000" w:rsidP="00000000" w:rsidRDefault="00000000" w:rsidRPr="00000000" w14:paraId="00000022">
            <w:pPr>
              <w:keepNext w:val="1"/>
              <w:keepLines w:val="1"/>
              <w:spacing w:before="200" w:line="276" w:lineRule="auto"/>
              <w:ind w:left="0" w:firstLine="0"/>
              <w:rPr>
                <w:sz w:val="24"/>
                <w:szCs w:val="24"/>
              </w:rPr>
            </w:pPr>
            <w:r w:rsidDel="00000000" w:rsidR="00000000" w:rsidRPr="00000000">
              <w:rPr>
                <w:sz w:val="24"/>
                <w:szCs w:val="24"/>
                <w:rtl w:val="0"/>
              </w:rPr>
              <w:t xml:space="preserve">Special Terms</w:t>
            </w:r>
          </w:p>
        </w:tc>
      </w:tr>
      <w:tr>
        <w:trPr>
          <w:cantSplit w:val="0"/>
          <w:tblHeader w:val="0"/>
        </w:trPr>
        <w:tc>
          <w:tcPr/>
          <w:p w:rsidR="00000000" w:rsidDel="00000000" w:rsidP="00000000" w:rsidRDefault="00000000" w:rsidRPr="00000000" w14:paraId="00000023">
            <w:pPr>
              <w:keepNext w:val="1"/>
              <w:keepLines w:val="1"/>
              <w:spacing w:before="200" w:line="276" w:lineRule="auto"/>
              <w:ind w:firstLine="1418"/>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4">
            <w:pPr>
              <w:keepNext w:val="1"/>
              <w:keepLines w:val="1"/>
              <w:spacing w:before="200" w:line="276" w:lineRule="auto"/>
              <w:ind w:firstLine="1418"/>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5">
            <w:pPr>
              <w:keepNext w:val="1"/>
              <w:keepLines w:val="1"/>
              <w:spacing w:before="200" w:line="276" w:lineRule="auto"/>
              <w:ind w:firstLine="1418"/>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6">
            <w:pPr>
              <w:keepNext w:val="1"/>
              <w:keepLines w:val="1"/>
              <w:spacing w:before="200" w:line="276" w:lineRule="auto"/>
              <w:ind w:firstLine="1418"/>
              <w:rPr>
                <w:sz w:val="24"/>
                <w:szCs w:val="24"/>
                <w:highlight w:val="yellow"/>
              </w:rPr>
            </w:pPr>
            <w:r w:rsidDel="00000000" w:rsidR="00000000" w:rsidRPr="00000000">
              <w:rPr>
                <w:sz w:val="24"/>
                <w:szCs w:val="24"/>
                <w:highlight w:val="yellow"/>
                <w:rtl w:val="0"/>
              </w:rPr>
              <w:t xml:space="preserve">[  ]</w:t>
            </w:r>
          </w:p>
        </w:tc>
      </w:tr>
      <w:tr>
        <w:trPr>
          <w:cantSplit w:val="0"/>
          <w:tblHeader w:val="0"/>
        </w:trPr>
        <w:tc>
          <w:tcPr/>
          <w:p w:rsidR="00000000" w:rsidDel="00000000" w:rsidP="00000000" w:rsidRDefault="00000000" w:rsidRPr="00000000" w14:paraId="00000027">
            <w:pPr>
              <w:keepNext w:val="1"/>
              <w:keepLines w:val="1"/>
              <w:spacing w:before="200" w:line="276" w:lineRule="auto"/>
              <w:ind w:firstLine="1418"/>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8">
            <w:pPr>
              <w:keepNext w:val="1"/>
              <w:keepLines w:val="1"/>
              <w:spacing w:before="200" w:line="276" w:lineRule="auto"/>
              <w:ind w:firstLine="1418"/>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9">
            <w:pPr>
              <w:keepNext w:val="1"/>
              <w:keepLines w:val="1"/>
              <w:spacing w:before="200" w:line="276" w:lineRule="auto"/>
              <w:ind w:firstLine="1418"/>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A">
            <w:pPr>
              <w:keepNext w:val="1"/>
              <w:keepLines w:val="1"/>
              <w:spacing w:before="200" w:line="276" w:lineRule="auto"/>
              <w:ind w:firstLine="1418"/>
              <w:rPr>
                <w:sz w:val="24"/>
                <w:szCs w:val="24"/>
                <w:highlight w:val="yellow"/>
              </w:rPr>
            </w:pPr>
            <w:r w:rsidDel="00000000" w:rsidR="00000000" w:rsidRPr="00000000">
              <w:rPr>
                <w:sz w:val="24"/>
                <w:szCs w:val="24"/>
                <w:highlight w:val="yellow"/>
                <w:rtl w:val="0"/>
              </w:rPr>
              <w:t xml:space="preserve">[  ]</w:t>
            </w:r>
          </w:p>
        </w:tc>
      </w:tr>
      <w:tr>
        <w:trPr>
          <w:cantSplit w:val="0"/>
          <w:tblHeader w:val="0"/>
        </w:trPr>
        <w:tc>
          <w:tcPr/>
          <w:p w:rsidR="00000000" w:rsidDel="00000000" w:rsidP="00000000" w:rsidRDefault="00000000" w:rsidRPr="00000000" w14:paraId="0000002B">
            <w:pPr>
              <w:keepNext w:val="1"/>
              <w:keepLines w:val="1"/>
              <w:spacing w:before="200" w:line="276" w:lineRule="auto"/>
              <w:ind w:firstLine="1418"/>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C">
            <w:pPr>
              <w:keepNext w:val="1"/>
              <w:keepLines w:val="1"/>
              <w:spacing w:before="200" w:line="276" w:lineRule="auto"/>
              <w:ind w:firstLine="1418"/>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D">
            <w:pPr>
              <w:keepNext w:val="1"/>
              <w:keepLines w:val="1"/>
              <w:spacing w:before="200" w:line="276" w:lineRule="auto"/>
              <w:ind w:firstLine="1418"/>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E">
            <w:pPr>
              <w:keepNext w:val="1"/>
              <w:keepLines w:val="1"/>
              <w:spacing w:before="200" w:line="276" w:lineRule="auto"/>
              <w:ind w:firstLine="1418"/>
              <w:rPr>
                <w:sz w:val="24"/>
                <w:szCs w:val="24"/>
                <w:highlight w:val="yellow"/>
              </w:rPr>
            </w:pPr>
            <w:r w:rsidDel="00000000" w:rsidR="00000000" w:rsidRPr="00000000">
              <w:rPr>
                <w:sz w:val="24"/>
                <w:szCs w:val="24"/>
                <w:highlight w:val="yellow"/>
                <w:rtl w:val="0"/>
              </w:rPr>
              <w:t xml:space="preserve">[  ]</w:t>
            </w:r>
          </w:p>
        </w:tc>
      </w:tr>
      <w:tr>
        <w:trPr>
          <w:cantSplit w:val="0"/>
          <w:tblHeader w:val="0"/>
        </w:trPr>
        <w:tc>
          <w:tcPr/>
          <w:p w:rsidR="00000000" w:rsidDel="00000000" w:rsidP="00000000" w:rsidRDefault="00000000" w:rsidRPr="00000000" w14:paraId="0000002F">
            <w:pPr>
              <w:keepNext w:val="1"/>
              <w:keepLines w:val="1"/>
              <w:spacing w:before="200" w:line="276" w:lineRule="auto"/>
              <w:ind w:firstLine="1418"/>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30">
            <w:pPr>
              <w:keepNext w:val="1"/>
              <w:keepLines w:val="1"/>
              <w:spacing w:before="200" w:line="276" w:lineRule="auto"/>
              <w:ind w:firstLine="1418"/>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31">
            <w:pPr>
              <w:keepNext w:val="1"/>
              <w:keepLines w:val="1"/>
              <w:spacing w:before="200" w:line="276" w:lineRule="auto"/>
              <w:ind w:firstLine="1418"/>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32">
            <w:pPr>
              <w:keepNext w:val="1"/>
              <w:keepLines w:val="1"/>
              <w:spacing w:before="200" w:line="276" w:lineRule="auto"/>
              <w:ind w:firstLine="1418"/>
              <w:rPr>
                <w:sz w:val="24"/>
                <w:szCs w:val="24"/>
                <w:highlight w:val="yellow"/>
              </w:rPr>
            </w:pPr>
            <w:r w:rsidDel="00000000" w:rsidR="00000000" w:rsidRPr="00000000">
              <w:rPr>
                <w:sz w:val="24"/>
                <w:szCs w:val="24"/>
                <w:highlight w:val="yellow"/>
                <w:rtl w:val="0"/>
              </w:rPr>
              <w:t xml:space="preserve">[  ]</w:t>
            </w:r>
          </w:p>
        </w:tc>
      </w:tr>
    </w:tbl>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rPr>
          <w:rFonts w:ascii="Calibri" w:cs="Calibri" w:eastAsia="Calibri" w:hAnsi="Calibri"/>
          <w:b w:val="1"/>
          <w:i w:val="0"/>
          <w:smallCaps w:val="0"/>
          <w:strike w:val="0"/>
          <w:color w:val="000000"/>
          <w:sz w:val="24"/>
          <w:szCs w:val="24"/>
          <w:u w:val="single"/>
          <w:shd w:fill="auto" w:val="clear"/>
          <w:vertAlign w:val="baseline"/>
        </w:rPr>
      </w:pPr>
      <w:r w:rsidDel="00000000" w:rsidR="00000000" w:rsidRPr="00000000">
        <w:rPr>
          <w:rtl w:val="0"/>
        </w:rPr>
      </w:r>
    </w:p>
    <w:sectPr>
      <w:headerReference r:id="rId6" w:type="default"/>
      <w:footerReference r:id="rId7" w:type="default"/>
      <w:footerReference r:id="rId8"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 w:name="Georgia"/>
  <w:font w:name="Calibri"/>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8">
    <w:pPr>
      <w:tabs>
        <w:tab w:val="center" w:pos="4513"/>
        <w:tab w:val="right" w:pos="9026"/>
      </w:tabs>
      <w:spacing w:after="0" w:lineRule="auto"/>
      <w:ind w:left="0" w:firstLine="0"/>
      <w:rPr>
        <w:sz w:val="20"/>
        <w:szCs w:val="20"/>
      </w:rPr>
    </w:pPr>
    <w:r w:rsidDel="00000000" w:rsidR="00000000" w:rsidRPr="00000000">
      <w:rPr>
        <w:rtl w:val="0"/>
      </w:rPr>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w:t>
    </w:r>
    <w:r w:rsidDel="00000000" w:rsidR="00000000" w:rsidRPr="00000000">
      <w:rPr>
        <w:sz w:val="20"/>
        <w:szCs w:val="20"/>
        <w:rtl w:val="0"/>
      </w:rPr>
      <w:t xml:space="preserve">RM6248 Payment Solutions 2</w:t>
    </w:r>
    <w:r w:rsidDel="00000000" w:rsidR="00000000" w:rsidRPr="00000000">
      <w:rPr>
        <w:rtl w:val="0"/>
      </w:rPr>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v3.1</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C">
    <w:pPr>
      <w:tabs>
        <w:tab w:val="center" w:pos="4513"/>
        <w:tab w:val="right" w:pos="9026"/>
      </w:tabs>
      <w:spacing w:after="0" w:lineRule="auto"/>
      <w:ind w:left="0" w:firstLine="0"/>
      <w:rPr>
        <w:sz w:val="20"/>
        <w:szCs w:val="20"/>
      </w:rPr>
    </w:pPr>
    <w:r w:rsidDel="00000000" w:rsidR="00000000" w:rsidRPr="00000000">
      <w:rPr>
        <w:rtl w:val="0"/>
      </w:rPr>
    </w:r>
  </w:p>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w:t>
      <w:tab/>
      <w:t xml:space="preserve">                                           </w:t>
    </w:r>
  </w:p>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 v3.0</w:t>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4">
    <w:pPr>
      <w:tabs>
        <w:tab w:val="center" w:pos="4513"/>
        <w:tab w:val="right" w:pos="9026"/>
      </w:tabs>
      <w:spacing w:after="0" w:lineRule="auto"/>
      <w:ind w:left="0" w:firstLine="0"/>
      <w:jc w:val="left"/>
      <w:rPr>
        <w:sz w:val="20"/>
        <w:szCs w:val="20"/>
      </w:rPr>
    </w:pPr>
    <w:r w:rsidDel="00000000" w:rsidR="00000000" w:rsidRPr="00000000">
      <w:rPr>
        <w:b w:val="1"/>
        <w:sz w:val="20"/>
        <w:szCs w:val="20"/>
        <w:rtl w:val="0"/>
      </w:rPr>
      <w:t xml:space="preserve">Call-Off Schedule 12 (Clustering)</w:t>
    </w:r>
    <w:r w:rsidDel="00000000" w:rsidR="00000000" w:rsidRPr="00000000">
      <w:rPr>
        <w:rtl w:val="0"/>
      </w:rPr>
    </w:r>
  </w:p>
  <w:p w:rsidR="00000000" w:rsidDel="00000000" w:rsidP="00000000" w:rsidRDefault="00000000" w:rsidRPr="00000000" w14:paraId="00000035">
    <w:pPr>
      <w:tabs>
        <w:tab w:val="left" w:pos="3899"/>
      </w:tabs>
      <w:spacing w:after="0" w:lineRule="auto"/>
      <w:ind w:left="0" w:firstLine="0"/>
      <w:jc w:val="left"/>
      <w:rPr>
        <w:sz w:val="20"/>
        <w:szCs w:val="20"/>
      </w:rPr>
    </w:pPr>
    <w:r w:rsidDel="00000000" w:rsidR="00000000" w:rsidRPr="00000000">
      <w:rPr>
        <w:sz w:val="20"/>
        <w:szCs w:val="20"/>
        <w:rtl w:val="0"/>
      </w:rPr>
      <w:t xml:space="preserve">Call-Off Ref: </w:t>
    </w:r>
  </w:p>
  <w:p w:rsidR="00000000" w:rsidDel="00000000" w:rsidP="00000000" w:rsidRDefault="00000000" w:rsidRPr="00000000" w14:paraId="00000036">
    <w:pPr>
      <w:tabs>
        <w:tab w:val="left" w:pos="3899"/>
      </w:tabs>
      <w:spacing w:after="0" w:lineRule="auto"/>
      <w:ind w:left="0" w:firstLine="0"/>
      <w:jc w:val="left"/>
      <w:rPr>
        <w:color w:val="000000"/>
        <w:sz w:val="20"/>
        <w:szCs w:val="20"/>
      </w:rPr>
    </w:pPr>
    <w:r w:rsidDel="00000000" w:rsidR="00000000" w:rsidRPr="00000000">
      <w:rPr>
        <w:sz w:val="20"/>
        <w:szCs w:val="20"/>
        <w:rtl w:val="0"/>
      </w:rPr>
      <w:t xml:space="preserve">Crown Copyright</w:t>
    </w:r>
    <w:r w:rsidDel="00000000" w:rsidR="00000000" w:rsidRPr="00000000">
      <w:rPr>
        <w:color w:val="000000"/>
        <w:sz w:val="14"/>
        <w:szCs w:val="14"/>
        <w:rtl w:val="0"/>
      </w:rPr>
      <w:t xml:space="preserve"> </w:t>
    </w:r>
    <w:r w:rsidDel="00000000" w:rsidR="00000000" w:rsidRPr="00000000">
      <w:rPr>
        <w:color w:val="000000"/>
        <w:sz w:val="20"/>
        <w:szCs w:val="20"/>
        <w:rtl w:val="0"/>
      </w:rPr>
      <w:t xml:space="preserve">2018</w:t>
    </w:r>
  </w:p>
  <w:p w:rsidR="00000000" w:rsidDel="00000000" w:rsidP="00000000" w:rsidRDefault="00000000" w:rsidRPr="00000000" w14:paraId="00000037">
    <w:pPr>
      <w:tabs>
        <w:tab w:val="left" w:pos="3899"/>
      </w:tabs>
      <w:spacing w:after="0" w:lineRule="auto"/>
      <w:ind w:left="0" w:firstLine="0"/>
      <w:jc w:val="left"/>
      <w:rPr>
        <w:color w:val="000000"/>
        <w:sz w:val="20"/>
        <w:szCs w:val="2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cs="Arial" w:eastAsia="Arial" w:hAnsi="Arial"/>
        <w:i w:val="0"/>
        <w:smallCaps w:val="0"/>
        <w:strike w:val="0"/>
        <w:u w:val="none"/>
        <w:vertAlign w:val="baseline"/>
      </w:rPr>
    </w:lvl>
    <w:lvl w:ilvl="2">
      <w:start w:val="1"/>
      <w:numFmt w:val="decimal"/>
      <w:lvlText w:val="%1.%2.%3"/>
      <w:lvlJc w:val="left"/>
      <w:pPr>
        <w:ind w:left="1440" w:hanging="720"/>
      </w:pPr>
      <w:rPr>
        <w:i w:val="0"/>
        <w:smallCaps w:val="0"/>
        <w:strike w:val="0"/>
        <w:u w:val="none"/>
        <w:vertAlign w:val="baseline"/>
      </w:rPr>
    </w:lvl>
    <w:lvl w:ilvl="3">
      <w:start w:val="1"/>
      <w:numFmt w:val="lowerLetter"/>
      <w:lvlText w:val="(%4)"/>
      <w:lvlJc w:val="left"/>
      <w:pPr>
        <w:ind w:left="1440" w:hanging="720"/>
      </w:pPr>
      <w:rPr>
        <w:rFonts w:ascii="Calibri" w:cs="Calibri" w:eastAsia="Calibri" w:hAnsi="Calibri"/>
        <w:i w:val="0"/>
        <w:smallCaps w:val="0"/>
        <w:strike w:val="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GB"/>
      </w:rPr>
    </w:rPrDefault>
    <w:pPrDefault>
      <w:pPr>
        <w:spacing w:after="240" w:lineRule="auto"/>
        <w:ind w:left="1418"/>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ind w:left="720" w:hanging="720"/>
    </w:pPr>
    <w:rPr>
      <w:rFonts w:ascii="Times New Roman" w:cs="Times New Roman" w:eastAsia="Times New Roman" w:hAnsi="Times New Roman"/>
    </w:rPr>
  </w:style>
  <w:style w:type="paragraph" w:styleId="Heading2">
    <w:name w:val="heading 2"/>
    <w:basedOn w:val="Normal"/>
    <w:next w:val="Normal"/>
    <w:pPr>
      <w:ind w:left="720" w:hanging="720"/>
    </w:pPr>
    <w:rPr>
      <w:rFonts w:ascii="Times New Roman" w:cs="Times New Roman" w:eastAsia="Times New Roman" w:hAnsi="Times New Roman"/>
    </w:rPr>
  </w:style>
  <w:style w:type="paragraph" w:styleId="Heading3">
    <w:name w:val="heading 3"/>
    <w:basedOn w:val="Normal"/>
    <w:next w:val="Normal"/>
    <w:pPr>
      <w:ind w:left="1800" w:hanging="1080"/>
    </w:pPr>
    <w:rPr>
      <w:rFonts w:ascii="Times New Roman" w:cs="Times New Roman" w:eastAsia="Times New Roman" w:hAnsi="Times New Roman"/>
    </w:rPr>
  </w:style>
  <w:style w:type="paragraph" w:styleId="Heading4">
    <w:name w:val="heading 4"/>
    <w:basedOn w:val="Normal"/>
    <w:next w:val="Normal"/>
    <w:pPr>
      <w:ind w:left="2880" w:hanging="1080"/>
    </w:pPr>
    <w:rPr>
      <w:rFonts w:ascii="Times New Roman" w:cs="Times New Roman" w:eastAsia="Times New Roman" w:hAnsi="Times New Roman"/>
    </w:rPr>
  </w:style>
  <w:style w:type="paragraph" w:styleId="Heading5">
    <w:name w:val="heading 5"/>
    <w:basedOn w:val="Normal"/>
    <w:next w:val="Normal"/>
    <w:pPr>
      <w:ind w:left="3600" w:hanging="720"/>
    </w:pPr>
    <w:rPr>
      <w:rFonts w:ascii="Times New Roman" w:cs="Times New Roman" w:eastAsia="Times New Roman" w:hAnsi="Times New Roman"/>
    </w:rPr>
  </w:style>
  <w:style w:type="paragraph" w:styleId="Heading6">
    <w:name w:val="heading 6"/>
    <w:basedOn w:val="Normal"/>
    <w:next w:val="Normal"/>
    <w:pPr>
      <w:ind w:left="4320" w:hanging="720"/>
    </w:pPr>
    <w:rPr>
      <w:rFonts w:ascii="Times New Roman" w:cs="Times New Roman" w:eastAsia="Times New Roman" w:hAnsi="Times New Roman"/>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1.xml"/><Relationship Id="rId8"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